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88" w:rsidRPr="00DA3A88" w:rsidRDefault="00DA3A88" w:rsidP="00DA3A88">
      <w:pPr>
        <w:shd w:val="clear" w:color="auto" w:fill="FFFFFF"/>
        <w:spacing w:after="210" w:line="520" w:lineRule="atLeast"/>
        <w:outlineLvl w:val="0"/>
        <w:rPr>
          <w:rFonts w:ascii="Arial" w:eastAsia="Times New Roman" w:hAnsi="Arial" w:cs="Arial"/>
          <w:noProof/>
          <w:color w:val="336699"/>
          <w:kern w:val="36"/>
          <w:sz w:val="46"/>
          <w:szCs w:val="46"/>
        </w:rPr>
      </w:pPr>
      <w:r w:rsidRPr="00DA3A88">
        <w:rPr>
          <w:rFonts w:ascii="Arial" w:eastAsia="Times New Roman" w:hAnsi="Arial" w:cs="Arial"/>
          <w:noProof/>
          <w:color w:val="336699"/>
          <w:kern w:val="36"/>
          <w:sz w:val="46"/>
          <w:szCs w:val="46"/>
        </w:rPr>
        <w:t>An Inflammatory Theory of Brain Disease</w:t>
      </w:r>
    </w:p>
    <w:p w:rsidR="00DA3A88" w:rsidRPr="00DA3A88" w:rsidRDefault="00DA3A88" w:rsidP="00DA3A88">
      <w:pPr>
        <w:pStyle w:val="Heading3"/>
        <w:shd w:val="clear" w:color="auto" w:fill="FFFFFF"/>
        <w:spacing w:before="0" w:after="150" w:line="304" w:lineRule="atLeast"/>
        <w:rPr>
          <w:rFonts w:ascii="Arial" w:hAnsi="Arial" w:cs="Arial"/>
          <w:b w:val="0"/>
          <w:bCs w:val="0"/>
          <w:noProof/>
          <w:color w:val="9D9FA2"/>
          <w:sz w:val="24"/>
          <w:szCs w:val="24"/>
        </w:rPr>
      </w:pPr>
      <w:r w:rsidRPr="00DA3A88">
        <w:rPr>
          <w:rStyle w:val="author"/>
          <w:rFonts w:ascii="Arial" w:hAnsi="Arial" w:cs="Arial"/>
          <w:b w:val="0"/>
          <w:bCs w:val="0"/>
          <w:noProof/>
          <w:color w:val="9D9FA2"/>
          <w:sz w:val="24"/>
          <w:szCs w:val="24"/>
        </w:rPr>
        <w:t>By</w:t>
      </w:r>
      <w:r w:rsidRPr="00DA3A88">
        <w:rPr>
          <w:rStyle w:val="apple-converted-space"/>
          <w:rFonts w:ascii="Arial" w:hAnsi="Arial" w:cs="Arial"/>
          <w:b w:val="0"/>
          <w:bCs w:val="0"/>
          <w:noProof/>
          <w:color w:val="9D9FA2"/>
          <w:sz w:val="24"/>
          <w:szCs w:val="24"/>
        </w:rPr>
        <w:t> </w:t>
      </w:r>
      <w:hyperlink r:id="rId4" w:tooltip="Posts by Lauren Aguirre" w:history="1">
        <w:r w:rsidRPr="00DA3A88">
          <w:rPr>
            <w:rStyle w:val="Hyperlink"/>
            <w:rFonts w:ascii="Arial" w:hAnsi="Arial" w:cs="Arial"/>
            <w:b w:val="0"/>
            <w:bCs w:val="0"/>
            <w:noProof/>
            <w:color w:val="231F20"/>
            <w:sz w:val="24"/>
            <w:szCs w:val="24"/>
          </w:rPr>
          <w:t>Lauren Aguirre</w:t>
        </w:r>
      </w:hyperlink>
      <w:r w:rsidRPr="00DA3A88">
        <w:rPr>
          <w:rStyle w:val="apple-converted-space"/>
          <w:rFonts w:ascii="Arial" w:hAnsi="Arial" w:cs="Arial"/>
          <w:b w:val="0"/>
          <w:bCs w:val="0"/>
          <w:noProof/>
          <w:color w:val="9D9FA2"/>
          <w:sz w:val="24"/>
          <w:szCs w:val="24"/>
        </w:rPr>
        <w:t> </w:t>
      </w:r>
      <w:r w:rsidRPr="00DA3A88">
        <w:rPr>
          <w:rFonts w:ascii="Arial" w:hAnsi="Arial" w:cs="Arial"/>
          <w:b w:val="0"/>
          <w:bCs w:val="0"/>
          <w:noProof/>
          <w:color w:val="9D9FA2"/>
          <w:sz w:val="24"/>
          <w:szCs w:val="24"/>
        </w:rPr>
        <w:t>on</w:t>
      </w:r>
      <w:r w:rsidRPr="00DA3A88">
        <w:rPr>
          <w:rStyle w:val="apple-converted-space"/>
          <w:rFonts w:ascii="Arial" w:hAnsi="Arial" w:cs="Arial"/>
          <w:b w:val="0"/>
          <w:bCs w:val="0"/>
          <w:noProof/>
          <w:color w:val="9D9FA2"/>
          <w:sz w:val="24"/>
          <w:szCs w:val="24"/>
        </w:rPr>
        <w:t> </w:t>
      </w:r>
      <w:r w:rsidRPr="00DA3A88">
        <w:rPr>
          <w:rFonts w:ascii="Arial" w:hAnsi="Arial" w:cs="Arial"/>
          <w:b w:val="0"/>
          <w:bCs w:val="0"/>
          <w:noProof/>
          <w:color w:val="9D9FA2"/>
          <w:sz w:val="24"/>
          <w:szCs w:val="24"/>
        </w:rPr>
        <w:t>Wed, 25 Feb 2015</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Beginning in March, 2010, 882 men and women who had suffered traumatic brain injury were enrolled in a clinical trial to test whether administering the human hormone progesterone within four hours would improve their outcome. While it’s often thought of as a one-time event, traumatic brain injury is better described as a disease: it’s irreversible, sometimes progressive, and often affects people for the rest of their lives. More than 5 million Americans—ranging from professional football players to Iraq war veterans and victims of car accidents—live with disabilities caused by traumatic brain injury.</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One striking hallmark of traumatic brain injury is inflammation in the brain, which occurs shortly after the trauma and can cause swelling, tissue breakdown, and cell death. Because it can be so debilitating, a lot of research has gone into finding ways to limit the damage in the hours immediately following injury. Progesterone can interfere with inflammation and is also thought to stimulate repair, so it was considered a promising candidate for reducing brain damage. Plus, the hormone is cheap and widely available.</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Experimental animal models and two early, small clinical trials had all shown positive results. After years of failing to find effective medications, hopes were high for this new approach.</w:t>
      </w:r>
    </w:p>
    <w:p w:rsidR="00DA3A88" w:rsidRPr="00DA3A88" w:rsidRDefault="00DA3A88" w:rsidP="00DA3A88">
      <w:pPr>
        <w:pStyle w:val="Heading2"/>
        <w:shd w:val="clear" w:color="auto" w:fill="FFFFFF"/>
        <w:spacing w:before="240" w:line="377" w:lineRule="atLeast"/>
        <w:rPr>
          <w:rFonts w:ascii="Arial" w:hAnsi="Arial" w:cs="Arial"/>
          <w:noProof/>
          <w:color w:val="333333"/>
          <w:sz w:val="24"/>
          <w:szCs w:val="24"/>
        </w:rPr>
      </w:pPr>
      <w:r w:rsidRPr="00DA3A88">
        <w:rPr>
          <w:rFonts w:ascii="Arial" w:hAnsi="Arial" w:cs="Arial"/>
          <w:noProof/>
          <w:color w:val="333333"/>
          <w:sz w:val="24"/>
          <w:szCs w:val="24"/>
        </w:rPr>
        <w:t>The Role of Inflammation</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While inflammation is harmful in the case of traumatic brain injury, it is also critical for our survival. When our immune system encounters a microbe or when we bruise our knees, the inflammation that results rushes key cells and proteins to the site to fight the infection or to encourage healing. But there are times when inflammation doesn’t know when to quit, and many doctors and researchers believe it plays a role in many chronic diseases. The growing list goes beyond autoimmune diseases, such as arthritis, diabetes, or multiple sclerosis, to include cardiovascular disease and possibly even brain diseases such as Alzheimer’s, Parkinson’s, epilepsy, or depression.</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lastRenderedPageBreak/>
        <w:t>Here’s how the immune system is supposed to work. Let’s say you slam a car door on your finger. That causes tissue damage and possibly infection—stuff that doesn’t belong there and looks foreign to the body. White blood cells and other molecules swarm in, wall off the damaged area, and attack the invaders and the damaged tissue. The area gets hot, red, swollen, and painful. Clean-up cells like macrophages—which means “big eaters” in Greek—gobble up the garbage. Once the damage has been contained, other immune molecules begin the repair process and the inflammation subsides.</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But inflammation also causes collateral damage, a sort of friendly fire. The same processes that get rid of foreign agents can damage good cells as well. The death of those cells can in turn trigger further inflammation. For reasons that remain unclear, sometimes this creates a vicious cycle that becomes self-sustaining. Steven Meier, a neuroscientist at the University of Colorado who researches how the brain regulates immune responses points out that, “like many, many other adaptive mechanisms that are adaptive when they’re activated briefly, they may not be so adaptive when they’re activated chronically.”</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For decades, researchers have noticed a link between ongoing inflammation and cardiovascular disease. Today it’s widely accepted that the immune system’s response to plaques of low-density lipoproteins, or LDL, on blood vessel walls plays a pivotal role in the progression of the disease. Sensing these plaques as foreign invaders, white blood cells and other molecules that are meant to protect the body turn into its own worst enemy. Instead of healing the body, white blood cells become trapped inside the plaques, provoking further inflammation and allowing the plaques to continue to grow. Eventually one of those plaques can break off and cause a clot, with potentially disastrous results.</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 xml:space="preserve">Though it may be going too far to call inflammation a grand unifying theory of chronic disease, the link between the two is a focus of labs around the world. “I do think inflammation is an important element, and maybe at the heart of a variety of disorders,” Meier says, “and does account for a lot of the comorbidity that occurs between disorders. Why on earth is there comorbidity between depression and heart disease? But once you start thinking about inflammation, you realize </w:t>
      </w:r>
      <w:r w:rsidRPr="00DA3A88">
        <w:rPr>
          <w:rFonts w:ascii="Georgia" w:hAnsi="Georgia"/>
          <w:noProof/>
          <w:color w:val="333333"/>
          <w:sz w:val="26"/>
          <w:szCs w:val="26"/>
        </w:rPr>
        <w:lastRenderedPageBreak/>
        <w:t>they may be both inflammatory disorders or at least involve an inflammatory element.”</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In the last decade, interest in the relationship between inflammation and brain disease in particular has exploded. Tantalizing associations abound. For example, some population-based studies of Alzheimer’s patients suggested that people who took non-steroidal anti-inflammatories—so-called NSAIDs like aspirin or ibuprofen—for long periods have a reduced risk of developing Alzheimer’s. Low-grade systemic inflammation, as measured by higher than normal levels of certain inflammatory molecules in the blood, have been found in people with depression. And in children with severe epilepsy, techniques to reduce inflammation have succeeded in stopping their seizures in cases where all other attempts had failed.</w:t>
      </w:r>
    </w:p>
    <w:p w:rsidR="00DA3A88" w:rsidRPr="00DA3A88" w:rsidRDefault="00DA3A88" w:rsidP="00DA3A88">
      <w:pPr>
        <w:pStyle w:val="Heading2"/>
        <w:shd w:val="clear" w:color="auto" w:fill="FFFFFF"/>
        <w:spacing w:before="240" w:line="377" w:lineRule="atLeast"/>
        <w:rPr>
          <w:rFonts w:ascii="Arial" w:hAnsi="Arial" w:cs="Arial"/>
          <w:noProof/>
          <w:color w:val="333333"/>
          <w:sz w:val="24"/>
          <w:szCs w:val="24"/>
        </w:rPr>
      </w:pPr>
      <w:r w:rsidRPr="00DA3A88">
        <w:rPr>
          <w:rFonts w:ascii="Arial" w:hAnsi="Arial" w:cs="Arial"/>
          <w:noProof/>
          <w:color w:val="333333"/>
          <w:sz w:val="24"/>
          <w:szCs w:val="24"/>
        </w:rPr>
        <w:t>The Brain’s Immune System</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The key is the brain’s unique immune system, which is slightly different from the rest of the body. For starters, it’s less heavy-handed. “The immune system, during evolution, learned that, ‘This is the brain, this is the nervous system. I cannot really live without it, so I have to be very, very, careful,’” says Bibiana Bielekova, chief of the Neuroimmunological Diseases Unit at the NIH.</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The first line of defense for the central nervous system is the blood brain barrier, which lines the thousands of miles of blood vessels in your brain. It is largely impermeable, for the most part letting in only glucose, oxygen, and other nutrients that brain cells need to function. This prevents most of the toxins and infectious agents we encounter daily from coming into contact with our brain’s delicate neurons and fragile microenvironment, preserving the brain’s balance of electrolytes—such as potassium—which if disturbed can wreak havoc on the electrical signaling required for normal brain function. Normally the blood brain barrier is very selective about what it invites inside the brain, but when the barrier gets damaged, for example because of a traumatic brain injury, dangerous molecules and immune cells that aren’t supposed to be there can slip inside.</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 xml:space="preserve">The second line of defense are microglia, the brain’s specialized macrophages, which migrate into the brain and take up permanent residence. Typically, microglia have a spindly, tree-like structure. Their branches are in constant </w:t>
      </w:r>
      <w:r w:rsidRPr="00DA3A88">
        <w:rPr>
          <w:rFonts w:ascii="Georgia" w:hAnsi="Georgia"/>
          <w:noProof/>
          <w:color w:val="333333"/>
          <w:sz w:val="26"/>
          <w:szCs w:val="26"/>
        </w:rPr>
        <w:lastRenderedPageBreak/>
        <w:t>motion, which allows them to scan the environment, but also delicate enough to do so without damaging neural circuits. However, when they’re activated by injury or infection, microglia multiply, shape-shift into blobby, amoeba-like structures, release inflammatory chemicals, and engulf damaged cells, tissue debris, or microbes.</w:t>
      </w:r>
    </w:p>
    <w:p w:rsidR="00DA3A88" w:rsidRPr="00DA3A88" w:rsidRDefault="00DA3A88" w:rsidP="00DA3A88">
      <w:pPr>
        <w:pStyle w:val="Heading2"/>
        <w:shd w:val="clear" w:color="auto" w:fill="FFFFFF"/>
        <w:spacing w:before="240" w:line="377" w:lineRule="atLeast"/>
        <w:rPr>
          <w:rFonts w:ascii="Arial" w:hAnsi="Arial" w:cs="Arial"/>
          <w:noProof/>
          <w:color w:val="333333"/>
          <w:sz w:val="24"/>
          <w:szCs w:val="24"/>
        </w:rPr>
      </w:pPr>
      <w:r w:rsidRPr="00DA3A88">
        <w:rPr>
          <w:rFonts w:ascii="Arial" w:hAnsi="Arial" w:cs="Arial"/>
          <w:noProof/>
          <w:color w:val="333333"/>
          <w:sz w:val="24"/>
          <w:szCs w:val="24"/>
        </w:rPr>
        <w:t>Mounting Failures in Clinical Trials</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Late last year, the results of the progesterone-traumatic brain injury study with 882 patients were announced. Despite the apparent promise, patients who took progesterone following the initial brain injury fared no better than those on placebo. In fact, those who took placebo had slightly better outcomes. Women who took progesterone fared slightly worse. And episodes of phlebitis, or blood clots, were significantly more frequent in patients taking progesterone. A second study that enrolled 1,195 patients was also shut down when it showed no benefit.</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These two efforts are far from the only disappointing clinical trials that have tested anti-inflammatory treatments to intervene in brain diseases. A trial that used the antibiotic minocycline in ALS patients to reduce inflammation and cell death wound up harming more than helping. Alzheimer’s trials that attempted to reproduce the population effect that had been seen using NSAIDs also failed. In fact, in older patients the drugs appeared to make their symptoms worse.</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Another trial that attempted to circumvent inflammation by “vaccinating” with amyloid beta, the plaques that are one of the hallmarks of the disease, had to be discontinued after it caused inflammation of the brain and the membranes surrounding it in some patients. “Any time you intervene in any of these complicated biological processes that involve multiple proteins, multiple pathways, multiple loops, it’s going to be very complicated,” Meier notes.</w:t>
      </w:r>
    </w:p>
    <w:p w:rsidR="00DA3A88" w:rsidRPr="00DA3A88" w:rsidRDefault="00DA3A88" w:rsidP="00DA3A88">
      <w:pPr>
        <w:rPr>
          <w:rFonts w:ascii="Times New Roman" w:hAnsi="Times New Roman"/>
          <w:noProof/>
          <w:sz w:val="24"/>
          <w:szCs w:val="24"/>
        </w:rPr>
      </w:pPr>
      <w:r w:rsidRPr="00DA3A88">
        <w:rPr>
          <w:noProof/>
        </w:rPr>
        <w:lastRenderedPageBreak/>
        <w:drawing>
          <wp:inline distT="0" distB="0" distL="0" distR="0">
            <wp:extent cx="5981700" cy="3364706"/>
            <wp:effectExtent l="19050" t="0" r="0" b="0"/>
            <wp:docPr id="1" name="Picture 1" descr="Microglia_and_neu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glia_and_neurons"/>
                    <pic:cNvPicPr>
                      <a:picLocks noChangeAspect="1" noChangeArrowheads="1"/>
                    </pic:cNvPicPr>
                  </pic:nvPicPr>
                  <pic:blipFill>
                    <a:blip r:embed="rId5"/>
                    <a:srcRect/>
                    <a:stretch>
                      <a:fillRect/>
                    </a:stretch>
                  </pic:blipFill>
                  <pic:spPr bwMode="auto">
                    <a:xfrm>
                      <a:off x="0" y="0"/>
                      <a:ext cx="5983924" cy="3365957"/>
                    </a:xfrm>
                    <a:prstGeom prst="rect">
                      <a:avLst/>
                    </a:prstGeom>
                    <a:noFill/>
                    <a:ln w="9525">
                      <a:noFill/>
                      <a:miter lim="800000"/>
                      <a:headEnd/>
                      <a:tailEnd/>
                    </a:ln>
                  </pic:spPr>
                </pic:pic>
              </a:graphicData>
            </a:graphic>
          </wp:inline>
        </w:drawing>
      </w:r>
    </w:p>
    <w:p w:rsidR="00DA3A88" w:rsidRPr="00DA3A88" w:rsidRDefault="00DA3A88" w:rsidP="00DA3A88">
      <w:pPr>
        <w:shd w:val="clear" w:color="auto" w:fill="333333"/>
        <w:spacing w:line="287" w:lineRule="atLeast"/>
        <w:rPr>
          <w:rFonts w:ascii="Arial" w:hAnsi="Arial" w:cs="Arial"/>
          <w:noProof/>
          <w:color w:val="CCCCCC"/>
          <w:sz w:val="21"/>
          <w:szCs w:val="21"/>
        </w:rPr>
      </w:pPr>
      <w:r w:rsidRPr="00DA3A88">
        <w:rPr>
          <w:rFonts w:ascii="Arial" w:hAnsi="Arial" w:cs="Arial"/>
          <w:noProof/>
          <w:color w:val="CCCCCC"/>
          <w:sz w:val="21"/>
          <w:szCs w:val="21"/>
        </w:rPr>
        <w:t>Microglia, seen here stained green, are part of the brain's specialized immune system.</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One reason why ongoing inflammation is assumed to be driving—if not instigating—brain diseases is that activated microglia are seen in the brains of these patients. However, activated microglia are not always bad. They also help protect it by shielding damaged areas from healthy regions, clearing debris from the brain, and initiating other complex anti-inflammatory processes that are far from fully understood. Bielekova points out that, “if you just see immune cells in the tissue, it’s very hard to say if they are playing bad guys or good guys.” In fact, a recent study published by the Yale School of Medicine in</w:t>
      </w:r>
      <w:r w:rsidRPr="00DA3A88">
        <w:rPr>
          <w:rStyle w:val="apple-converted-space"/>
          <w:rFonts w:ascii="Georgia" w:hAnsi="Georgia"/>
          <w:noProof/>
          <w:color w:val="333333"/>
          <w:sz w:val="26"/>
          <w:szCs w:val="26"/>
        </w:rPr>
        <w:t> </w:t>
      </w:r>
      <w:r w:rsidRPr="00DA3A88">
        <w:rPr>
          <w:rStyle w:val="Emphasis"/>
          <w:rFonts w:ascii="Georgia" w:hAnsi="Georgia"/>
          <w:noProof/>
          <w:color w:val="333333"/>
          <w:sz w:val="26"/>
          <w:szCs w:val="26"/>
        </w:rPr>
        <w:t>Nature Communications</w:t>
      </w:r>
      <w:r w:rsidRPr="00DA3A88">
        <w:rPr>
          <w:rStyle w:val="apple-converted-space"/>
          <w:rFonts w:ascii="Georgia" w:hAnsi="Georgia"/>
          <w:noProof/>
          <w:color w:val="333333"/>
          <w:sz w:val="26"/>
          <w:szCs w:val="26"/>
        </w:rPr>
        <w:t> </w:t>
      </w:r>
      <w:r w:rsidRPr="00DA3A88">
        <w:rPr>
          <w:rFonts w:ascii="Georgia" w:hAnsi="Georgia"/>
          <w:noProof/>
          <w:color w:val="333333"/>
          <w:sz w:val="26"/>
          <w:szCs w:val="26"/>
        </w:rPr>
        <w:t>shows that microglia, at least in mice, appear to protect the brain by walling off the plaques from the surrounding environment. It’s possible, then, that tamping down microglia activation could actually make things worse.</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 xml:space="preserve">The difficulty of figuring out how to intervene in an immune response without turning off necessary functions may be just one reason why we haven’t seen major successes yet. Experts have pointed out a number of other reasons why so many trials have failed, from animal models that don’t translate well to humans and clinical trials that some would argue were poorly designed to the fact that once an </w:t>
      </w:r>
      <w:r w:rsidRPr="00DA3A88">
        <w:rPr>
          <w:rFonts w:ascii="Georgia" w:hAnsi="Georgia"/>
          <w:noProof/>
          <w:color w:val="333333"/>
          <w:sz w:val="26"/>
          <w:szCs w:val="26"/>
        </w:rPr>
        <w:lastRenderedPageBreak/>
        <w:t>inflammatory immune response has been well established, it becomes much harder to resolve.</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“Once you have this fully established chronic inflammation, it’s much, much more difficult to deliver effective treatments to those areas,” Bielekova says. “In multiple sclerosis, it is very clear that whichever drug you take that is efficacious, the efficacy decreases as you delay the treatment. So if you use the treatment very, very early on, every drug looks like a winner. But you wait just a couple of years and you take patients that are now three four years longer in the disease duration you may lose 50% efficacy of your drug.”</w:t>
      </w:r>
    </w:p>
    <w:p w:rsidR="00DA3A88" w:rsidRPr="00DA3A88" w:rsidRDefault="00DA3A88" w:rsidP="00DA3A88">
      <w:pPr>
        <w:pStyle w:val="Heading2"/>
        <w:shd w:val="clear" w:color="auto" w:fill="FFFFFF"/>
        <w:spacing w:before="240" w:line="377" w:lineRule="atLeast"/>
        <w:rPr>
          <w:rFonts w:ascii="Arial" w:hAnsi="Arial" w:cs="Arial"/>
          <w:noProof/>
          <w:color w:val="333333"/>
          <w:sz w:val="24"/>
          <w:szCs w:val="24"/>
        </w:rPr>
      </w:pPr>
      <w:r w:rsidRPr="00DA3A88">
        <w:rPr>
          <w:rFonts w:ascii="Arial" w:hAnsi="Arial" w:cs="Arial"/>
          <w:noProof/>
          <w:color w:val="333333"/>
          <w:sz w:val="24"/>
          <w:szCs w:val="24"/>
        </w:rPr>
        <w:t>Glimmers of Hope</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Disappointing results aside, there are hints that intervening early to tamp down inflammation can be helpful. The same data analysis that showed NSAIDs can actually speed up the progression of Alzheimer’s in patients in the advanced stages of the disease also revealed that those who started taking NSAIDs regularly in midlife, when their brains were healthier, had slower cognitive decline.</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Other approaches built around intervening early have yielded similar results. For example, last summer Genentech</w:t>
      </w:r>
      <w:r w:rsidRPr="00DA3A88">
        <w:rPr>
          <w:rStyle w:val="apple-converted-space"/>
          <w:rFonts w:ascii="Georgia" w:hAnsi="Georgia"/>
          <w:noProof/>
          <w:color w:val="333333"/>
          <w:sz w:val="26"/>
          <w:szCs w:val="26"/>
        </w:rPr>
        <w:t> </w:t>
      </w:r>
      <w:hyperlink r:id="rId6" w:history="1">
        <w:r w:rsidRPr="00DA3A88">
          <w:rPr>
            <w:rStyle w:val="Hyperlink"/>
            <w:rFonts w:ascii="Georgia" w:hAnsi="Georgia"/>
            <w:noProof/>
            <w:color w:val="83A2C0"/>
            <w:sz w:val="26"/>
            <w:szCs w:val="26"/>
            <w:u w:val="none"/>
          </w:rPr>
          <w:t>announced the results</w:t>
        </w:r>
      </w:hyperlink>
      <w:r w:rsidRPr="00DA3A88">
        <w:rPr>
          <w:rStyle w:val="apple-converted-space"/>
          <w:rFonts w:ascii="Georgia" w:hAnsi="Georgia"/>
          <w:noProof/>
          <w:color w:val="333333"/>
          <w:sz w:val="26"/>
          <w:szCs w:val="26"/>
        </w:rPr>
        <w:t> </w:t>
      </w:r>
      <w:r w:rsidRPr="00DA3A88">
        <w:rPr>
          <w:rFonts w:ascii="Georgia" w:hAnsi="Georgia"/>
          <w:noProof/>
          <w:color w:val="333333"/>
          <w:sz w:val="26"/>
          <w:szCs w:val="26"/>
        </w:rPr>
        <w:t>of a phase II trial testing the efficacy of crenezumab to treat Alzheimer’s disease. Crenezumab is an antibody that binds to amyloid beta, the protein that makes up the plaques scattered throughout the brain that are one of the main visible features of Alzheimer’s. The theory behind this choice of antibody was that it would stimulate microglia just enough to begin clearing the plaques, but not so much so that these immune cells would launch a major inflammatory response. While this phase II trial failed to meet its targets, patients in the early stages of the disease who had been given large doses showed slower cognitive decline.</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 xml:space="preserve">Damir Janigro, a blood brain barrier researcher at Cleveland Clinic who studies traumatic brain injury and epilepsy, has a very different take on how to approach brain diseases linked with inflammation. He considers both of these diseases to be “blood brain barrier” diseases because repeated seizures and traumatic brain injury can damage the blood brain barrier, making it leakier. That means that not </w:t>
      </w:r>
      <w:r w:rsidRPr="00DA3A88">
        <w:rPr>
          <w:rFonts w:ascii="Georgia" w:hAnsi="Georgia"/>
          <w:noProof/>
          <w:color w:val="333333"/>
          <w:sz w:val="26"/>
          <w:szCs w:val="26"/>
        </w:rPr>
        <w:lastRenderedPageBreak/>
        <w:t>only can substances that don’t belong inside the brain slip through, materials from inside the brain can travel to the rest of the body.</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“The blood brain barrier shields your brain, which is good for you. But then it’s bad for you if you leak a piece of your brain and this is considered an enemy” by the rest of your immune system, he says. Janigro is part of what he calls a “vocal minority” of researchers who look at inflammation outside the brain as being another cause of inflammation inside the brain—and potentially even a better target for treatment. “Neuroinflammation is probably bad for you. But it’s a very hard target to go after. Everybody who does is surprised that it fails, like the Alzheimer’s trial in pulling amyloid from the brain.”</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We’re still early in our understanding of how the brain’s immune system works, when it is damaging, and when it is protective. If inflammation is the common element in brain diseases, it may turn out that understanding how to intervene successfully in one disease will make it possible to use similar therapeutic approaches across many. But, because we don’t fully understand how the unfathomably complex immune system works, it is likely to be a long and difficult journey before we find ways to intervene safely and effectively.</w:t>
      </w:r>
    </w:p>
    <w:p w:rsidR="00DA3A88" w:rsidRPr="00DA3A88" w:rsidRDefault="00DA3A88" w:rsidP="00DA3A88">
      <w:pPr>
        <w:pStyle w:val="NormalWeb"/>
        <w:shd w:val="clear" w:color="auto" w:fill="FFFFFF"/>
        <w:spacing w:before="240" w:beforeAutospacing="0" w:after="240" w:afterAutospacing="0" w:line="377" w:lineRule="atLeast"/>
        <w:rPr>
          <w:rFonts w:ascii="Georgia" w:hAnsi="Georgia"/>
          <w:noProof/>
          <w:color w:val="333333"/>
          <w:sz w:val="26"/>
          <w:szCs w:val="26"/>
        </w:rPr>
      </w:pPr>
      <w:r w:rsidRPr="00DA3A88">
        <w:rPr>
          <w:rFonts w:ascii="Georgia" w:hAnsi="Georgia"/>
          <w:noProof/>
          <w:color w:val="333333"/>
          <w:sz w:val="26"/>
          <w:szCs w:val="26"/>
        </w:rPr>
        <w:t>“If you look at the range of disorders and diseases there’s probably a continuum where in some it plays little or no role, with some it’s in between,” Meier says. “You can go too far with any of these unifying themes. There’s a natural tendency to want to do so. But I do think the inflammation story is not going away. I think it’s real.”</w:t>
      </w:r>
    </w:p>
    <w:p w:rsidR="007D693F" w:rsidRPr="00DA3A88" w:rsidRDefault="007D693F">
      <w:pPr>
        <w:rPr>
          <w:noProof/>
        </w:rPr>
      </w:pPr>
      <w:permStart w:id="0" w:edGrp="everyone"/>
      <w:permEnd w:id="0"/>
    </w:p>
    <w:sectPr w:rsidR="007D693F" w:rsidRPr="00DA3A88" w:rsidSect="001362A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SwIt10FucFOh7dv2nCL8XWQKbjs=" w:salt="YOLrvidtmtrcomdIRBApNQ=="/>
  <w:defaultTabStop w:val="720"/>
  <w:characterSpacingControl w:val="doNotCompress"/>
  <w:compat>
    <w:useFELayout/>
  </w:compat>
  <w:rsids>
    <w:rsidRoot w:val="00DA3A88"/>
    <w:rsid w:val="001362AD"/>
    <w:rsid w:val="00353D89"/>
    <w:rsid w:val="007D693F"/>
    <w:rsid w:val="00DA3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AD"/>
  </w:style>
  <w:style w:type="paragraph" w:styleId="Heading1">
    <w:name w:val="heading 1"/>
    <w:basedOn w:val="Normal"/>
    <w:link w:val="Heading1Char"/>
    <w:uiPriority w:val="9"/>
    <w:qFormat/>
    <w:rsid w:val="00DA3A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A3A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A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A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DA3A88"/>
    <w:rPr>
      <w:rFonts w:asciiTheme="majorHAnsi" w:eastAsiaTheme="majorEastAsia" w:hAnsiTheme="majorHAnsi" w:cstheme="majorBidi"/>
      <w:b/>
      <w:bCs/>
      <w:color w:val="4F81BD" w:themeColor="accent1"/>
    </w:rPr>
  </w:style>
  <w:style w:type="character" w:customStyle="1" w:styleId="author">
    <w:name w:val="author"/>
    <w:basedOn w:val="DefaultParagraphFont"/>
    <w:rsid w:val="00DA3A88"/>
  </w:style>
  <w:style w:type="character" w:customStyle="1" w:styleId="apple-converted-space">
    <w:name w:val="apple-converted-space"/>
    <w:basedOn w:val="DefaultParagraphFont"/>
    <w:rsid w:val="00DA3A88"/>
  </w:style>
  <w:style w:type="character" w:styleId="Hyperlink">
    <w:name w:val="Hyperlink"/>
    <w:basedOn w:val="DefaultParagraphFont"/>
    <w:uiPriority w:val="99"/>
    <w:semiHidden/>
    <w:unhideWhenUsed/>
    <w:rsid w:val="00DA3A88"/>
    <w:rPr>
      <w:color w:val="0000FF"/>
      <w:u w:val="single"/>
    </w:rPr>
  </w:style>
  <w:style w:type="character" w:customStyle="1" w:styleId="Heading2Char">
    <w:name w:val="Heading 2 Char"/>
    <w:basedOn w:val="DefaultParagraphFont"/>
    <w:link w:val="Heading2"/>
    <w:uiPriority w:val="9"/>
    <w:semiHidden/>
    <w:rsid w:val="00DA3A8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A3A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3A88"/>
    <w:rPr>
      <w:i/>
      <w:iCs/>
    </w:rPr>
  </w:style>
  <w:style w:type="paragraph" w:styleId="BalloonText">
    <w:name w:val="Balloon Text"/>
    <w:basedOn w:val="Normal"/>
    <w:link w:val="BalloonTextChar"/>
    <w:uiPriority w:val="99"/>
    <w:semiHidden/>
    <w:unhideWhenUsed/>
    <w:rsid w:val="00DA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172415">
      <w:bodyDiv w:val="1"/>
      <w:marLeft w:val="0"/>
      <w:marRight w:val="0"/>
      <w:marTop w:val="0"/>
      <w:marBottom w:val="0"/>
      <w:divBdr>
        <w:top w:val="none" w:sz="0" w:space="0" w:color="auto"/>
        <w:left w:val="none" w:sz="0" w:space="0" w:color="auto"/>
        <w:bottom w:val="none" w:sz="0" w:space="0" w:color="auto"/>
        <w:right w:val="none" w:sz="0" w:space="0" w:color="auto"/>
      </w:divBdr>
    </w:div>
    <w:div w:id="1558467483">
      <w:bodyDiv w:val="1"/>
      <w:marLeft w:val="0"/>
      <w:marRight w:val="0"/>
      <w:marTop w:val="0"/>
      <w:marBottom w:val="0"/>
      <w:divBdr>
        <w:top w:val="none" w:sz="0" w:space="0" w:color="auto"/>
        <w:left w:val="none" w:sz="0" w:space="0" w:color="auto"/>
        <w:bottom w:val="none" w:sz="0" w:space="0" w:color="auto"/>
        <w:right w:val="none" w:sz="0" w:space="0" w:color="auto"/>
      </w:divBdr>
      <w:divsChild>
        <w:div w:id="287785037">
          <w:marLeft w:val="-1200"/>
          <w:marRight w:val="0"/>
          <w:marTop w:val="0"/>
          <w:marBottom w:val="0"/>
          <w:divBdr>
            <w:top w:val="none" w:sz="0" w:space="0" w:color="auto"/>
            <w:left w:val="none" w:sz="0" w:space="0" w:color="auto"/>
            <w:bottom w:val="none" w:sz="0" w:space="0" w:color="auto"/>
            <w:right w:val="none" w:sz="0" w:space="0" w:color="auto"/>
          </w:divBdr>
        </w:div>
      </w:divsChild>
    </w:div>
    <w:div w:id="17726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wgbh/nova/next/body/alzheimers-treatments/" TargetMode="External"/><Relationship Id="rId5" Type="http://schemas.openxmlformats.org/officeDocument/2006/relationships/image" Target="media/image1.jpeg"/><Relationship Id="rId4" Type="http://schemas.openxmlformats.org/officeDocument/2006/relationships/hyperlink" Target="http://www.pbs.org/wgbh/nova/next/author/lauren-aguir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2092</Words>
  <Characters>11925</Characters>
  <Application>Microsoft Office Word</Application>
  <DocSecurity>8</DocSecurity>
  <Lines>99</Lines>
  <Paragraphs>27</Paragraphs>
  <ScaleCrop>false</ScaleCrop>
  <Company/>
  <LinksUpToDate>false</LinksUpToDate>
  <CharactersWithSpaces>13990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2015-03-08T12:32:00Z</dcterms:created>
  <dcterms:modified xsi:type="dcterms:W3CDTF">2015-03-12T00:46:00Z</dcterms:modified>
</cp:coreProperties>
</file>